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cs="Arial"/>
          <w:b/>
          <w:lang w:val="fr-CH"/>
        </w:rPr>
      </w:pPr>
      <w:r>
        <w:rPr>
          <w:rFonts w:cs="Arial"/>
          <w:b/>
          <w:lang w:val="fr-CH"/>
        </w:rPr>
        <w:t>Convention relative à la demande de remboursement commune (art. 18, al. 3</w:t>
      </w:r>
      <w:r>
        <w:rPr>
          <w:rFonts w:cs="Arial"/>
          <w:b/>
          <w:vertAlign w:val="superscript"/>
          <w:lang w:val="fr-CH"/>
        </w:rPr>
        <w:t>bis</w:t>
      </w:r>
      <w:r>
        <w:rPr>
          <w:rFonts w:cs="Arial"/>
          <w:b/>
          <w:lang w:val="fr-CH"/>
        </w:rPr>
        <w:t>, OCOV) entre:</w:t>
      </w:r>
    </w:p>
    <w:p>
      <w:pPr>
        <w:rPr>
          <w:rFonts w:cs="Arial"/>
          <w:b/>
          <w:lang w:val="fr-CH"/>
        </w:rPr>
      </w:pPr>
    </w:p>
    <w:p>
      <w:pPr>
        <w:rPr>
          <w:rFonts w:cs="Arial"/>
          <w:i/>
          <w:lang w:val="fr-CH"/>
        </w:rPr>
      </w:pPr>
      <w:r>
        <w:rPr>
          <w:rFonts w:cs="Arial"/>
          <w:i/>
          <w:lang w:val="fr-CH"/>
        </w:rPr>
        <w:t>[Groupe, composé de (citer toutes les entreprises) / association]</w:t>
      </w:r>
    </w:p>
    <w:p>
      <w:pPr>
        <w:rPr>
          <w:rFonts w:cs="Arial"/>
          <w:lang w:val="fr-CH"/>
        </w:rPr>
      </w:pPr>
      <w:r>
        <w:rPr>
          <w:rFonts w:cs="Arial"/>
          <w:lang w:val="fr-CH"/>
        </w:rPr>
        <w:t>et</w:t>
      </w:r>
      <w:r>
        <w:rPr>
          <w:rFonts w:cs="Arial"/>
          <w:lang w:val="fr-CH"/>
        </w:rPr>
        <w:br/>
        <w:t xml:space="preserve">ses membres </w:t>
      </w:r>
      <w:r>
        <w:rPr>
          <w:rFonts w:cs="Arial"/>
          <w:i/>
          <w:lang w:val="fr-CH"/>
        </w:rPr>
        <w:t>[citer tous les membres]</w:t>
      </w:r>
      <w:r>
        <w:rPr>
          <w:rFonts w:cs="Arial"/>
          <w:lang w:val="fr-CH"/>
        </w:rPr>
        <w:t xml:space="preserve"> qui déposent une demande de remboursement commune de la taxe sur les COV.</w:t>
      </w: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  <w:r>
        <w:rPr>
          <w:rFonts w:cs="Arial"/>
          <w:lang w:val="fr-CH"/>
        </w:rPr>
        <w:t>Le Groupe est représenté par:</w:t>
      </w:r>
    </w:p>
    <w:p>
      <w:pPr>
        <w:rPr>
          <w:rFonts w:cs="Arial"/>
          <w:i/>
          <w:lang w:val="fr-CH"/>
        </w:rPr>
      </w:pPr>
      <w:r>
        <w:rPr>
          <w:rFonts w:cs="Arial"/>
          <w:i/>
          <w:lang w:val="fr-CH"/>
        </w:rPr>
        <w:t>[Nom et adresse du représentant]</w:t>
      </w: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b/>
          <w:lang w:val="fr-CH"/>
        </w:rPr>
        <w:t>But:</w:t>
      </w:r>
      <w:r>
        <w:rPr>
          <w:rFonts w:cs="Arial"/>
          <w:b/>
          <w:lang w:val="fr-CH"/>
        </w:rPr>
        <w:tab/>
        <w:t xml:space="preserve">La présente convention règle la collaboration entre </w:t>
      </w:r>
      <w:r>
        <w:rPr>
          <w:rFonts w:cs="Arial"/>
          <w:b/>
          <w:i/>
          <w:lang w:val="fr-CH"/>
        </w:rPr>
        <w:t>[groupe/association]</w:t>
      </w:r>
      <w:r>
        <w:rPr>
          <w:rFonts w:cs="Arial"/>
          <w:b/>
          <w:lang w:val="fr-CH"/>
        </w:rPr>
        <w:t xml:space="preserve"> et ses membres dans la perspective d’une demande de remboursement commune. Cette pratique permet en particulier aux petites entreprises d’obtenir elles aussi un remboursement de la taxe sur les COV.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Art.1</w:t>
      </w:r>
      <w:r>
        <w:rPr>
          <w:rFonts w:cs="Arial"/>
          <w:lang w:val="fr-CH"/>
        </w:rPr>
        <w:tab/>
        <w:t>Peuvent adhérer à la présente convention les entreprises membres de</w:t>
      </w:r>
      <w:r>
        <w:rPr>
          <w:rFonts w:cs="Arial"/>
          <w:i/>
          <w:lang w:val="fr-CH"/>
        </w:rPr>
        <w:t xml:space="preserve"> [insérer groupe/association]</w:t>
      </w:r>
      <w:r>
        <w:rPr>
          <w:rFonts w:cs="Arial"/>
          <w:lang w:val="fr-CH"/>
        </w:rPr>
        <w:t xml:space="preserve"> qui ont l’intention de déposer, par le biais de </w:t>
      </w:r>
      <w:r>
        <w:rPr>
          <w:rFonts w:cs="Arial"/>
          <w:i/>
          <w:lang w:val="fr-CH"/>
        </w:rPr>
        <w:t>[groupe/association]</w:t>
      </w:r>
      <w:r>
        <w:rPr>
          <w:rFonts w:cs="Arial"/>
          <w:lang w:val="fr-CH"/>
        </w:rPr>
        <w:t>, une demande commune de remboursement de la taxe sur les COV (ci-après participants).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Art: 2</w:t>
      </w:r>
      <w:r>
        <w:rPr>
          <w:rFonts w:cs="Arial"/>
          <w:lang w:val="fr-CH"/>
        </w:rPr>
        <w:tab/>
        <w:t>Les participants ne peuvent pas déposer de demande supplémentaire en dehors de la demande de remboursement commune.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Art. 3</w:t>
      </w:r>
      <w:r>
        <w:rPr>
          <w:rFonts w:cs="Arial"/>
          <w:lang w:val="fr-CH"/>
        </w:rPr>
        <w:tab/>
        <w:t xml:space="preserve">Les participants fournissent à </w:t>
      </w:r>
      <w:r>
        <w:rPr>
          <w:rFonts w:cs="Arial"/>
          <w:i/>
          <w:lang w:val="fr-CH"/>
        </w:rPr>
        <w:t>[groupe/association]</w:t>
      </w:r>
      <w:r>
        <w:rPr>
          <w:rFonts w:cs="Arial"/>
          <w:lang w:val="fr-CH"/>
        </w:rPr>
        <w:t xml:space="preserve"> tous les renseignements nécessaires à la demande de remboursement commune.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Art: 4</w:t>
      </w:r>
      <w:r>
        <w:rPr>
          <w:rFonts w:cs="Arial"/>
          <w:lang w:val="fr-CH"/>
        </w:rPr>
        <w:tab/>
        <w:t>Les participants adressent leur demande de remboursement commune aux autorités d’exécution de la Confédération (</w:t>
      </w:r>
      <w:hyperlink r:id="rId7" w:history="1">
        <w:r>
          <w:rPr>
            <w:rStyle w:val="Hyperlink"/>
            <w:rFonts w:cs="Arial"/>
            <w:lang w:val="fr-CH"/>
          </w:rPr>
          <w:t>www.bazg.admin.ch</w:t>
        </w:r>
      </w:hyperlink>
      <w:r>
        <w:rPr>
          <w:rFonts w:cs="Arial"/>
          <w:lang w:val="fr-CH"/>
        </w:rPr>
        <w:t xml:space="preserve">) par l’intermédiaire de </w:t>
      </w:r>
      <w:r>
        <w:rPr>
          <w:rFonts w:cs="Arial"/>
          <w:i/>
          <w:lang w:val="fr-CH"/>
        </w:rPr>
        <w:t>[groupe/association]</w:t>
      </w:r>
      <w:r>
        <w:rPr>
          <w:rFonts w:cs="Arial"/>
          <w:lang w:val="fr-CH"/>
        </w:rPr>
        <w:t>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Art: 5</w:t>
      </w:r>
      <w:r>
        <w:rPr>
          <w:rFonts w:cs="Arial"/>
          <w:lang w:val="fr-CH"/>
        </w:rPr>
        <w:tab/>
        <w:t xml:space="preserve">Les participants prouvent, à l’aide de copies de factures ou d’extraits informatiques de leurs fournisseurs, qu’ils se sont effectivement acquittés de la taxe d’incitation sur laquelle porte la demande de remboursement (montant acquitté </w:t>
      </w:r>
      <w:r>
        <w:rPr>
          <w:lang w:val="fr-CH"/>
        </w:rPr>
        <w:t>au moins égal à celui de la demande de remboursement).</w:t>
      </w:r>
      <w:r>
        <w:rPr>
          <w:rFonts w:cs="Arial"/>
          <w:lang w:val="fr-CH"/>
        </w:rPr>
        <w:t xml:space="preserve"> Les justificatifs doivent être remis à </w:t>
      </w:r>
      <w:r>
        <w:rPr>
          <w:rFonts w:cs="Arial"/>
          <w:i/>
          <w:lang w:val="fr-CH"/>
        </w:rPr>
        <w:t xml:space="preserve">[groupe/association] </w:t>
      </w:r>
      <w:r>
        <w:rPr>
          <w:rFonts w:cs="Arial"/>
          <w:lang w:val="fr-CH"/>
        </w:rPr>
        <w:t>jusqu’au 31 janvier de l’exercice suivant.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Art: 6</w:t>
      </w:r>
      <w:r>
        <w:rPr>
          <w:rFonts w:cs="Arial"/>
          <w:lang w:val="fr-CH"/>
        </w:rPr>
        <w:tab/>
        <w:t xml:space="preserve">Les participants éliminent leurs déchets contenant des COV uniquement auprès des </w:t>
      </w:r>
      <w:r>
        <w:rPr>
          <w:rFonts w:cs="Arial"/>
          <w:lang w:val="fr-FR"/>
        </w:rPr>
        <w:t>entreprises d’élimination bénéficiant d’une autorisation au sens de l’ordonnance du 22 juin 2005 sur les mouvements de déchets (</w:t>
      </w:r>
      <w:proofErr w:type="spellStart"/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>HYPERLINK "https://www.fedlex.admin.ch/eli/cc/2005/551/fr"</w:instrText>
      </w:r>
      <w:r>
        <w:rPr>
          <w:rFonts w:cs="Arial"/>
          <w:lang w:val="fr-FR"/>
        </w:rPr>
        <w:fldChar w:fldCharType="separate"/>
      </w:r>
      <w:r>
        <w:rPr>
          <w:rStyle w:val="Hyperlink"/>
          <w:rFonts w:cs="Arial"/>
          <w:lang w:val="fr-FR"/>
        </w:rPr>
        <w:t>OMoD</w:t>
      </w:r>
      <w:proofErr w:type="spellEnd"/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t>; RS 814.610)</w:t>
      </w:r>
      <w:r>
        <w:rPr>
          <w:rFonts w:cs="Arial"/>
          <w:lang w:val="fr-CH"/>
        </w:rPr>
        <w:t>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Art: 7</w:t>
      </w:r>
      <w:r>
        <w:rPr>
          <w:rFonts w:cs="Arial"/>
          <w:lang w:val="fr-CH"/>
        </w:rPr>
        <w:tab/>
        <w:t xml:space="preserve">Les participants fournissent des justificatifs de la quantité de COV éliminés dans les règles (analyses de l’entreprise d’élimination). Ces justificatifs doivent être envoyés à </w:t>
      </w:r>
      <w:r>
        <w:rPr>
          <w:rFonts w:cs="Arial"/>
          <w:i/>
          <w:lang w:val="fr-CH"/>
        </w:rPr>
        <w:t>[groupe/association]</w:t>
      </w:r>
      <w:r>
        <w:rPr>
          <w:rFonts w:cs="Arial"/>
          <w:lang w:val="fr-CH"/>
        </w:rPr>
        <w:t xml:space="preserve"> jusqu’au 31 janvier de l’exercice suivant.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Art: 8</w:t>
      </w:r>
      <w:r>
        <w:rPr>
          <w:rFonts w:cs="Arial"/>
          <w:lang w:val="fr-CH"/>
        </w:rPr>
        <w:tab/>
        <w:t xml:space="preserve">Les participants acceptent que les justificatifs envoyés en retard ne pourront plus être pris en considération par </w:t>
      </w:r>
      <w:r>
        <w:rPr>
          <w:rFonts w:cs="Arial"/>
          <w:i/>
          <w:lang w:val="fr-CH"/>
        </w:rPr>
        <w:t>[groupe/association]</w:t>
      </w:r>
      <w:r>
        <w:rPr>
          <w:rFonts w:cs="Arial"/>
          <w:lang w:val="fr-CH"/>
        </w:rPr>
        <w:t xml:space="preserve"> pour la demande de remboursement commune.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Art: 9</w:t>
      </w:r>
      <w:r>
        <w:rPr>
          <w:rFonts w:cs="Arial"/>
          <w:lang w:val="fr-CH"/>
        </w:rPr>
        <w:tab/>
      </w:r>
      <w:r>
        <w:rPr>
          <w:rFonts w:cs="Arial"/>
          <w:i/>
          <w:lang w:val="fr-CH"/>
        </w:rPr>
        <w:t>[Groupe/association]</w:t>
      </w:r>
      <w:r>
        <w:rPr>
          <w:rFonts w:cs="Arial"/>
          <w:lang w:val="fr-CH"/>
        </w:rPr>
        <w:t xml:space="preserve"> rassemble les justificatifs et établit la demande de remboursement commune. Elle est la représentante désignée pour le versement du remboursement. Elle distribue le montant remboursé aux participants à raison de leur part.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Art. 10</w:t>
      </w:r>
      <w:r>
        <w:rPr>
          <w:rFonts w:cs="Arial"/>
          <w:lang w:val="fr-CH"/>
        </w:rPr>
        <w:tab/>
      </w:r>
      <w:r>
        <w:rPr>
          <w:rFonts w:cs="Arial"/>
          <w:i/>
          <w:lang w:val="fr-CH"/>
        </w:rPr>
        <w:t>[Groupe/association]</w:t>
      </w:r>
      <w:r>
        <w:rPr>
          <w:rFonts w:cs="Arial"/>
          <w:lang w:val="fr-CH"/>
        </w:rPr>
        <w:t xml:space="preserve"> remet les documents suivants à l’autorité d’exécution: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  <w:rPr>
          <w:lang w:val="fr-CH"/>
        </w:rPr>
      </w:pPr>
      <w:proofErr w:type="gramStart"/>
      <w:r>
        <w:rPr>
          <w:lang w:val="fr-CH"/>
        </w:rPr>
        <w:t>formulaire</w:t>
      </w:r>
      <w:proofErr w:type="gramEnd"/>
      <w:r>
        <w:rPr>
          <w:lang w:val="fr-CH"/>
        </w:rPr>
        <w:t xml:space="preserve"> de bilan de COV dûment rempli et signé contenant la somme des quantités de COV achetés et éliminés par le groupe;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  <w:rPr>
          <w:rFonts w:cs="Arial"/>
          <w:lang w:val="fr-CH"/>
        </w:rPr>
      </w:pPr>
      <w:proofErr w:type="gramStart"/>
      <w:r>
        <w:rPr>
          <w:lang w:val="fr-CH"/>
        </w:rPr>
        <w:t>liste</w:t>
      </w:r>
      <w:proofErr w:type="gramEnd"/>
      <w:r>
        <w:rPr>
          <w:lang w:val="fr-CH"/>
        </w:rPr>
        <w:t xml:space="preserve"> de tous les participants et des quantités de COV achetés et éliminés sous forme de déchets par chacun d’eux. Les entreprises figurant sur la liste doivent être regroupées par canton</w:t>
      </w:r>
      <w:r>
        <w:rPr>
          <w:rFonts w:cs="Arial"/>
          <w:lang w:val="fr-CH"/>
        </w:rPr>
        <w:t>;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  <w:rPr>
          <w:rFonts w:cs="Arial"/>
          <w:lang w:val="fr-CH"/>
        </w:rPr>
      </w:pPr>
      <w:proofErr w:type="gramStart"/>
      <w:r>
        <w:rPr>
          <w:lang w:val="fr-CH"/>
        </w:rPr>
        <w:t>liste</w:t>
      </w:r>
      <w:proofErr w:type="gramEnd"/>
      <w:r>
        <w:rPr>
          <w:lang w:val="fr-CH"/>
        </w:rPr>
        <w:t xml:space="preserve"> des quantités de COV ache</w:t>
      </w:r>
      <w:bookmarkStart w:id="0" w:name="_GoBack"/>
      <w:bookmarkEnd w:id="0"/>
      <w:r>
        <w:rPr>
          <w:lang w:val="fr-CH"/>
        </w:rPr>
        <w:t>tées et les justificatifs des quantités éliminées.</w:t>
      </w: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  <w:r>
        <w:rPr>
          <w:rFonts w:cs="Arial"/>
          <w:lang w:val="fr-CH"/>
        </w:rPr>
        <w:br w:type="page"/>
      </w: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lastRenderedPageBreak/>
        <w:t>Art: 11</w:t>
      </w:r>
      <w:r>
        <w:rPr>
          <w:rFonts w:cs="Arial"/>
          <w:lang w:val="fr-CH"/>
        </w:rPr>
        <w:tab/>
        <w:t xml:space="preserve">Les participants dédommagent </w:t>
      </w:r>
      <w:r>
        <w:rPr>
          <w:rFonts w:cs="Arial"/>
          <w:i/>
          <w:lang w:val="fr-CH"/>
        </w:rPr>
        <w:t>[groupe/association]</w:t>
      </w:r>
      <w:r>
        <w:rPr>
          <w:rFonts w:cs="Arial"/>
          <w:lang w:val="fr-CH"/>
        </w:rPr>
        <w:t xml:space="preserve"> pour le travail administratif fourni. Le dédommagement est fixé par les participants à la majorité. Le montant du dédommagement est déduit du montant total remboursé.</w:t>
      </w:r>
    </w:p>
    <w:p>
      <w:pPr>
        <w:rPr>
          <w:rFonts w:cs="Arial"/>
          <w:lang w:val="fr-CH"/>
        </w:rPr>
      </w:pPr>
    </w:p>
    <w:p>
      <w:pPr>
        <w:ind w:left="1134" w:hanging="1134"/>
        <w:rPr>
          <w:rFonts w:cs="Arial"/>
          <w:lang w:val="fr-CH"/>
        </w:rPr>
      </w:pPr>
      <w:r>
        <w:rPr>
          <w:rFonts w:cs="Arial"/>
          <w:lang w:val="fr-CH"/>
        </w:rPr>
        <w:t>Art. 12</w:t>
      </w:r>
      <w:r>
        <w:rPr>
          <w:rFonts w:cs="Arial"/>
          <w:lang w:val="fr-CH"/>
        </w:rPr>
        <w:tab/>
        <w:t>La présente convention est signée au moins pour deux ans. Ensuite la résiliation est possible pour la fin d’un mois, avec un préavis de trois mois.</w:t>
      </w: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  <w:r>
        <w:rPr>
          <w:rFonts w:cs="Arial"/>
          <w:lang w:val="fr-CH"/>
        </w:rPr>
        <w:t>Date:</w:t>
      </w: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</w:p>
    <w:p>
      <w:pPr>
        <w:rPr>
          <w:rFonts w:cs="Arial"/>
          <w:lang w:val="fr-CH"/>
        </w:rPr>
      </w:pPr>
    </w:p>
    <w:p>
      <w:pPr>
        <w:tabs>
          <w:tab w:val="left" w:pos="5700"/>
        </w:tabs>
        <w:rPr>
          <w:lang w:val="fr-CH"/>
        </w:rPr>
      </w:pPr>
      <w:r>
        <w:rPr>
          <w:rFonts w:cs="Arial"/>
          <w:i/>
          <w:lang w:val="fr-CH"/>
        </w:rPr>
        <w:t>[</w:t>
      </w:r>
      <w:proofErr w:type="gramStart"/>
      <w:r>
        <w:rPr>
          <w:rFonts w:cs="Arial"/>
          <w:i/>
          <w:lang w:val="fr-CH"/>
        </w:rPr>
        <w:t>groupe</w:t>
      </w:r>
      <w:proofErr w:type="gramEnd"/>
      <w:r>
        <w:rPr>
          <w:rFonts w:cs="Arial"/>
          <w:i/>
          <w:lang w:val="fr-CH"/>
        </w:rPr>
        <w:t>/association]</w:t>
      </w:r>
      <w:r>
        <w:rPr>
          <w:lang w:val="fr-CH"/>
        </w:rPr>
        <w:t>:</w:t>
      </w:r>
      <w:r>
        <w:rPr>
          <w:lang w:val="fr-CH"/>
        </w:rPr>
        <w:tab/>
        <w:t>Participants:</w:t>
      </w:r>
    </w:p>
    <w:sectPr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t>Janvier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0C2B"/>
    <w:multiLevelType w:val="hybridMultilevel"/>
    <w:tmpl w:val="A170C330"/>
    <w:lvl w:ilvl="0" w:tplc="AD146E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244406"/>
    <w:multiLevelType w:val="hybridMultilevel"/>
    <w:tmpl w:val="DA70834E"/>
    <w:lvl w:ilvl="0" w:tplc="11C28D8C">
      <w:numFmt w:val="bullet"/>
      <w:lvlText w:val="-"/>
      <w:lvlJc w:val="left"/>
      <w:pPr>
        <w:tabs>
          <w:tab w:val="num" w:pos="1062"/>
        </w:tabs>
        <w:ind w:left="1062" w:hanging="705"/>
      </w:pPr>
      <w:rPr>
        <w:rFonts w:ascii="Arial" w:hAnsi="Arial" w:hint="default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1288"/>
    <w:multiLevelType w:val="hybridMultilevel"/>
    <w:tmpl w:val="56B0F6E4"/>
    <w:lvl w:ilvl="0" w:tplc="F328F368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95108"/>
    <w:multiLevelType w:val="hybridMultilevel"/>
    <w:tmpl w:val="D20464E6"/>
    <w:lvl w:ilvl="0" w:tplc="0807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evenAndOddHeader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FB99FA-FF3C-474E-BD96-8D45A5E3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8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ind w:left="702" w:firstLine="708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ind w:firstLine="567"/>
      <w:outlineLvl w:val="4"/>
    </w:pPr>
    <w:rPr>
      <w:rFonts w:ascii="Times New Roman" w:hAnsi="Times New Roman"/>
      <w:b/>
      <w:sz w:val="18"/>
    </w:rPr>
  </w:style>
  <w:style w:type="paragraph" w:styleId="berschrift6">
    <w:name w:val="heading 6"/>
    <w:basedOn w:val="Standard"/>
    <w:next w:val="Standard"/>
    <w:qFormat/>
    <w:pPr>
      <w:keepNext/>
      <w:ind w:left="1704"/>
      <w:outlineLvl w:val="5"/>
    </w:pPr>
    <w:rPr>
      <w:rFonts w:ascii="Times New Roman" w:hAnsi="Times New Roman"/>
      <w:b/>
      <w:sz w:val="18"/>
      <w:u w:val="single"/>
    </w:rPr>
  </w:style>
  <w:style w:type="paragraph" w:styleId="berschrift7">
    <w:name w:val="heading 7"/>
    <w:basedOn w:val="Standard"/>
    <w:next w:val="Standard"/>
    <w:qFormat/>
    <w:pPr>
      <w:keepNext/>
      <w:ind w:left="2829" w:hanging="1125"/>
      <w:outlineLvl w:val="6"/>
    </w:pPr>
    <w:rPr>
      <w:rFonts w:ascii="Times New Roman" w:hAnsi="Times New Roman"/>
      <w:b/>
      <w:bCs/>
      <w:sz w:val="18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lang w:val="en-GB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5812"/>
      </w:tabs>
      <w:ind w:left="360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pBdr>
        <w:bottom w:val="single" w:sz="6" w:space="1" w:color="auto"/>
      </w:pBdr>
    </w:pPr>
    <w:rPr>
      <w:sz w:val="18"/>
    </w:rPr>
  </w:style>
  <w:style w:type="paragraph" w:styleId="Textkrper2">
    <w:name w:val="Body Text 2"/>
    <w:basedOn w:val="Standard"/>
    <w:rPr>
      <w:sz w:val="18"/>
    </w:rPr>
  </w:style>
  <w:style w:type="paragraph" w:styleId="Textkrper-Zeileneinzug">
    <w:name w:val="Body Text Indent"/>
    <w:basedOn w:val="Standard"/>
    <w:pPr>
      <w:ind w:left="1416"/>
    </w:pPr>
    <w:rPr>
      <w:b/>
      <w:sz w:val="18"/>
    </w:rPr>
  </w:style>
  <w:style w:type="paragraph" w:styleId="Textkrper-Einzug2">
    <w:name w:val="Body Text Indent 2"/>
    <w:basedOn w:val="Standard"/>
    <w:pPr>
      <w:ind w:left="1692"/>
    </w:pPr>
    <w:rPr>
      <w:rFonts w:ascii="Times New Roman" w:hAnsi="Times New Roman"/>
      <w:sz w:val="18"/>
    </w:rPr>
  </w:style>
  <w:style w:type="paragraph" w:styleId="Textkrper-Einzug3">
    <w:name w:val="Body Text Indent 3"/>
    <w:basedOn w:val="Standard"/>
    <w:pPr>
      <w:ind w:left="1695"/>
    </w:pPr>
    <w:rPr>
      <w:rFonts w:ascii="Times New Roman" w:hAnsi="Times New Roman"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3">
    <w:name w:val="Body Text 3"/>
    <w:basedOn w:val="Standard"/>
    <w:pPr>
      <w:tabs>
        <w:tab w:val="left" w:pos="5812"/>
      </w:tabs>
    </w:pPr>
    <w:rPr>
      <w:rFonts w:cs="Arial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Objetducommentaire">
    <w:name w:val="Objet du commentaire"/>
    <w:basedOn w:val="Kommentartext"/>
    <w:next w:val="Kommentartext"/>
    <w:semiHidden/>
    <w:rPr>
      <w:b/>
      <w:bCs/>
    </w:rPr>
  </w:style>
  <w:style w:type="character" w:customStyle="1" w:styleId="FuzeileZchn">
    <w:name w:val="Fußzeile Zchn"/>
    <w:link w:val="Fuzeile"/>
    <w:uiPriority w:val="99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zg.admin.ch/bazg/fr/home/infos-pour-entreprises/impots-et-redevances/importation-en-suisse/taxe-d-incitation-sur-les-composes-organiques-volatils--cov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 VEREINIGUNG DER INDUSTRIELACKIERERMEISTER</vt:lpstr>
    </vt:vector>
  </TitlesOfParts>
  <Company>Hans Sturzenegger AG</Company>
  <LinksUpToDate>false</LinksUpToDate>
  <CharactersWithSpaces>3800</CharactersWithSpaces>
  <SharedDoc>false</SharedDoc>
  <HLinks>
    <vt:vector size="12" baseType="variant">
      <vt:variant>
        <vt:i4>5832813</vt:i4>
      </vt:variant>
      <vt:variant>
        <vt:i4>3</vt:i4>
      </vt:variant>
      <vt:variant>
        <vt:i4>0</vt:i4>
      </vt:variant>
      <vt:variant>
        <vt:i4>5</vt:i4>
      </vt:variant>
      <vt:variant>
        <vt:lpwstr>http://www.admin.ch/ch/f/rs/c814_610.html</vt:lpwstr>
      </vt:variant>
      <vt:variant>
        <vt:lpwstr/>
      </vt:variant>
      <vt:variant>
        <vt:i4>1048702</vt:i4>
      </vt:variant>
      <vt:variant>
        <vt:i4>0</vt:i4>
      </vt:variant>
      <vt:variant>
        <vt:i4>0</vt:i4>
      </vt:variant>
      <vt:variant>
        <vt:i4>5</vt:i4>
      </vt:variant>
      <vt:variant>
        <vt:lpwstr>http://www.ezv.admin.ch/zollinfo_firmen/04020/04256/04264/index.html?lang=fr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 VEREINIGUNG DER INDUSTRIELACKIERERMEISTER</dc:title>
  <dc:subject/>
  <dc:creator>Jürg Sturzenegger</dc:creator>
  <cp:keywords/>
  <cp:lastModifiedBy>Hug Daniel BAZG</cp:lastModifiedBy>
  <cp:revision>5</cp:revision>
  <cp:lastPrinted>2008-10-21T06:31:00Z</cp:lastPrinted>
  <dcterms:created xsi:type="dcterms:W3CDTF">2022-12-06T15:18:00Z</dcterms:created>
  <dcterms:modified xsi:type="dcterms:W3CDTF">2022-12-07T09:39:00Z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-588762737</vt:i4>
  </property>
  <property fmtid="{D5CDD505-2E9C-101B-9397-08002B2CF9AE}" pid="3" name="_EmailSubject">
    <vt:lpwstr>Internet VOC</vt:lpwstr>
  </property>
  <property fmtid="{D5CDD505-2E9C-101B-9397-08002B2CF9AE}" pid="4" name="_AuthorEmail">
    <vt:lpwstr>hans.trauffer@ezv.admin.ch</vt:lpwstr>
  </property>
  <property fmtid="{D5CDD505-2E9C-101B-9397-08002B2CF9AE}" pid="5" name="_AuthorEmailDisplayName">
    <vt:lpwstr>Trauffer Hans EZV</vt:lpwstr>
  </property>
  <property fmtid="{D5CDD505-2E9C-101B-9397-08002B2CF9AE}" pid="6" name="FSC#COOSYSTEM@1.1:Container">
    <vt:lpwstr>COO.2002.100.7.3593190</vt:lpwstr>
  </property>
  <property fmtid="{D5CDD505-2E9C-101B-9397-08002B2CF9AE}" pid="7" name="FSC#ELAKGOV@1.1001:PersonalSubjGender">
    <vt:lpwstr/>
  </property>
  <property fmtid="{D5CDD505-2E9C-101B-9397-08002B2CF9AE}" pid="8" name="FSC#ELAKGOV@1.1001:PersonalSubjFirstName">
    <vt:lpwstr/>
  </property>
  <property fmtid="{D5CDD505-2E9C-101B-9397-08002B2CF9AE}" pid="9" name="FSC#ELAKGOV@1.1001:PersonalSubjSurName">
    <vt:lpwstr/>
  </property>
  <property fmtid="{D5CDD505-2E9C-101B-9397-08002B2CF9AE}" pid="10" name="FSC#ELAKGOV@1.1001:PersonalSubjSalutation">
    <vt:lpwstr/>
  </property>
  <property fmtid="{D5CDD505-2E9C-101B-9397-08002B2CF9AE}" pid="11" name="FSC#ELAKGOV@1.1001:PersonalSubjAddress">
    <vt:lpwstr/>
  </property>
  <property fmtid="{D5CDD505-2E9C-101B-9397-08002B2CF9AE}" pid="12" name="_PreviousAdHocReviewCycleID">
    <vt:i4>1214970985</vt:i4>
  </property>
  <property fmtid="{D5CDD505-2E9C-101B-9397-08002B2CF9AE}" pid="13" name="_ReviewingToolsShownOnce">
    <vt:lpwstr/>
  </property>
</Properties>
</file>